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E" w:rsidRDefault="001178C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ДОГОВОР </w:t>
      </w:r>
      <w:r>
        <w:rPr>
          <w:rFonts w:ascii="Arial" w:eastAsia="Arial" w:hAnsi="Arial" w:cs="Arial"/>
          <w:sz w:val="30"/>
          <w:szCs w:val="30"/>
        </w:rPr>
        <w:t>ДОВЕРИТЕЛЬНОГО УПРАВЛЕНИЯ</w:t>
      </w:r>
      <w:r>
        <w:br/>
      </w:r>
    </w:p>
    <w:tbl>
      <w:tblPr>
        <w:tblStyle w:val="aff4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515"/>
        <w:gridCol w:w="5640"/>
      </w:tblGrid>
      <w:tr w:rsidR="00E71C5E" w:rsidTr="00E71C5E">
        <w:trPr>
          <w:cnfStyle w:val="100000000000"/>
          <w:cantSplit/>
          <w:tblHeader/>
        </w:trPr>
        <w:tc>
          <w:tcPr>
            <w:cnfStyle w:val="001000000000"/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71C5E" w:rsidRDefault="001178CF">
            <w:pPr>
              <w:rPr>
                <w:rFonts w:ascii="Arial" w:eastAsia="Arial" w:hAnsi="Arial" w:cs="Arial"/>
              </w:rPr>
            </w:pPr>
            <w:r>
              <w:br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E71C5E" w:rsidRDefault="001178CF">
            <w:pPr>
              <w:jc w:val="right"/>
              <w:cnfStyle w:val="100000000000"/>
              <w:rPr>
                <w:rFonts w:ascii="Arial" w:eastAsia="Arial" w:hAnsi="Arial" w:cs="Arial"/>
                <w:color w:val="87878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78787"/>
                <w:sz w:val="16"/>
                <w:szCs w:val="16"/>
              </w:rPr>
              <w:t>«16» марта  2021 г.</w:t>
            </w:r>
          </w:p>
        </w:tc>
      </w:tr>
    </w:tbl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  <w:highlight w:val="white"/>
        </w:rPr>
        <w:t>_______________</w:t>
      </w:r>
      <w:r>
        <w:rPr>
          <w:rFonts w:ascii="Arial" w:eastAsia="Arial" w:hAnsi="Arial" w:cs="Arial"/>
          <w:color w:val="1D1D1D"/>
          <w:sz w:val="16"/>
          <w:szCs w:val="16"/>
        </w:rPr>
        <w:t>, именуемый в дальнейшем «</w:t>
      </w:r>
      <w:r>
        <w:rPr>
          <w:rFonts w:ascii="Arial" w:eastAsia="Arial" w:hAnsi="Arial" w:cs="Arial"/>
          <w:b/>
          <w:color w:val="1D1D1D"/>
          <w:sz w:val="16"/>
          <w:szCs w:val="16"/>
        </w:rPr>
        <w:t>Инвестор</w:t>
      </w:r>
      <w:r w:rsidR="00B33C2C">
        <w:rPr>
          <w:rFonts w:ascii="Arial" w:eastAsia="Arial" w:hAnsi="Arial" w:cs="Arial"/>
          <w:color w:val="1D1D1D"/>
          <w:sz w:val="16"/>
          <w:szCs w:val="16"/>
        </w:rPr>
        <w:t>», с одной стороны, и-----------</w:t>
      </w:r>
      <w:r>
        <w:rPr>
          <w:rFonts w:ascii="Arial" w:eastAsia="Arial" w:hAnsi="Arial" w:cs="Arial"/>
          <w:color w:val="1D1D1D"/>
          <w:sz w:val="16"/>
          <w:szCs w:val="16"/>
        </w:rPr>
        <w:t>, именуемый в дальнейшем «</w:t>
      </w:r>
      <w:r>
        <w:rPr>
          <w:rFonts w:ascii="Arial" w:eastAsia="Arial" w:hAnsi="Arial" w:cs="Arial"/>
          <w:b/>
          <w:color w:val="1D1D1D"/>
          <w:sz w:val="16"/>
          <w:szCs w:val="16"/>
        </w:rPr>
        <w:t>Управляющий</w:t>
      </w:r>
      <w:r>
        <w:rPr>
          <w:rFonts w:ascii="Arial" w:eastAsia="Arial" w:hAnsi="Arial" w:cs="Arial"/>
          <w:color w:val="1D1D1D"/>
          <w:sz w:val="16"/>
          <w:szCs w:val="16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eastAsia="Arial" w:hAnsi="Arial" w:cs="Arial"/>
          <w:b/>
          <w:color w:val="1D1D1D"/>
          <w:sz w:val="16"/>
          <w:szCs w:val="16"/>
        </w:rPr>
        <w:t>Договор</w:t>
      </w:r>
      <w:r>
        <w:rPr>
          <w:rFonts w:ascii="Arial" w:eastAsia="Arial" w:hAnsi="Arial" w:cs="Arial"/>
          <w:color w:val="1D1D1D"/>
          <w:sz w:val="16"/>
          <w:szCs w:val="16"/>
        </w:rPr>
        <w:t>», о нижеследующем:</w:t>
      </w:r>
    </w:p>
    <w:p w:rsidR="00E71C5E" w:rsidRDefault="001178CF">
      <w:pPr>
        <w:jc w:val="center"/>
        <w:rPr>
          <w:rFonts w:ascii="Arial" w:eastAsia="Arial" w:hAnsi="Arial" w:cs="Arial"/>
          <w:b/>
          <w:color w:val="1D1D1D"/>
        </w:rPr>
      </w:pPr>
      <w:r>
        <w:rPr>
          <w:rFonts w:ascii="Arial" w:eastAsia="Arial" w:hAnsi="Arial" w:cs="Arial"/>
          <w:b/>
          <w:color w:val="1D1D1D"/>
        </w:rPr>
        <w:t>1. ПРЕДМЕТ ДОГОВОРА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1.1. Инвестор передает Управляющему в пол</w:t>
      </w:r>
      <w:r w:rsidR="00B33C2C">
        <w:rPr>
          <w:rFonts w:ascii="Arial" w:eastAsia="Arial" w:hAnsi="Arial" w:cs="Arial"/>
          <w:color w:val="1D1D1D"/>
          <w:sz w:val="16"/>
          <w:szCs w:val="16"/>
        </w:rPr>
        <w:t>ьзование  деньги в сумме: --------</w:t>
      </w:r>
      <w:r>
        <w:rPr>
          <w:rFonts w:ascii="Arial" w:eastAsia="Arial" w:hAnsi="Arial" w:cs="Arial"/>
          <w:color w:val="1D1D1D"/>
          <w:sz w:val="16"/>
          <w:szCs w:val="16"/>
        </w:rPr>
        <w:t>. Сумма НДС не облагается. Основание – НК РФ, ст.149, п.3, пп 15.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1.2. Деньги перечисляются с банковского счета Инвестора на банковский счет, указываем</w:t>
      </w:r>
      <w:r>
        <w:rPr>
          <w:rFonts w:ascii="Arial" w:eastAsia="Arial" w:hAnsi="Arial" w:cs="Arial"/>
          <w:color w:val="1D1D1D"/>
          <w:sz w:val="16"/>
          <w:szCs w:val="16"/>
        </w:rPr>
        <w:t>ый Управляющим непосредственно во время перевода.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1.3. Договор считается заключенным с момента перечисления всей суммы денег Инвестором.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1.4. Управляющий обязуется использовать денежные средства для работы с криптовалютой и оповещать Инвестора о своих дейс</w:t>
      </w:r>
      <w:r>
        <w:rPr>
          <w:rFonts w:ascii="Arial" w:eastAsia="Arial" w:hAnsi="Arial" w:cs="Arial"/>
          <w:color w:val="1D1D1D"/>
          <w:sz w:val="16"/>
          <w:szCs w:val="16"/>
        </w:rPr>
        <w:t>твиях. Денежные средства будут использованы в криптовалютных операциях совместно с личными средствами Управляющего и привлеченных средств от третьих лиц.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 xml:space="preserve">1.5. Балансом считается сумма, которая зафиксирована на данный момент Управляющим по счету Инвестора. </w:t>
      </w:r>
      <w:r>
        <w:rPr>
          <w:rFonts w:ascii="Arial" w:eastAsia="Arial" w:hAnsi="Arial" w:cs="Arial"/>
          <w:color w:val="1D1D1D"/>
          <w:sz w:val="16"/>
          <w:szCs w:val="16"/>
        </w:rPr>
        <w:t>Баланс определяется Управляющим и является производной от начальной суммы займа и прибыли/убытков по совершенным Управляющим операций.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1.6. При любом пополнении баланса итоговый дошедший баланс считается от суммы перечисления минус процент конвертации 1,2-</w:t>
      </w:r>
      <w:r>
        <w:rPr>
          <w:rFonts w:ascii="Arial" w:eastAsia="Arial" w:hAnsi="Arial" w:cs="Arial"/>
          <w:color w:val="1D1D1D"/>
          <w:sz w:val="16"/>
          <w:szCs w:val="16"/>
        </w:rPr>
        <w:t xml:space="preserve"> 2%. Эта сумма может изменяться от дня перевода и изменения выгодности обмена курсов. Инвестор в полной мере осознает риски связанные с работой с криптовалютой, и принимает их.</w:t>
      </w:r>
      <w:r>
        <w:rPr>
          <w:rFonts w:ascii="Arial" w:eastAsia="Arial" w:hAnsi="Arial" w:cs="Arial"/>
          <w:color w:val="1D1D1D"/>
          <w:sz w:val="16"/>
          <w:szCs w:val="16"/>
        </w:rPr>
        <w:br/>
      </w:r>
      <w:r>
        <w:rPr>
          <w:rFonts w:ascii="Arial" w:eastAsia="Arial" w:hAnsi="Arial" w:cs="Arial"/>
          <w:color w:val="1D1D1D"/>
          <w:sz w:val="16"/>
          <w:szCs w:val="16"/>
        </w:rPr>
        <w:br/>
        <w:t>1.7. Вывод баланса обратно в рубли так же предполагает конвертацию.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1.8. Инвес</w:t>
      </w:r>
      <w:r>
        <w:rPr>
          <w:rFonts w:ascii="Arial" w:eastAsia="Arial" w:hAnsi="Arial" w:cs="Arial"/>
          <w:color w:val="1D1D1D"/>
          <w:sz w:val="16"/>
          <w:szCs w:val="16"/>
        </w:rPr>
        <w:t>тор вправе узнавать свой текущий баланс у Управляющего и заказывать выплату любой части баланса в любой день. Управляющий обязуется выплатить запрошенную сумму баланса. Сумма должна быть равна или менее текущего баланса Инвестора.</w:t>
      </w:r>
    </w:p>
    <w:p w:rsidR="00E71C5E" w:rsidRDefault="00E71C5E">
      <w:pPr>
        <w:jc w:val="center"/>
        <w:rPr>
          <w:rFonts w:ascii="Arial" w:eastAsia="Arial" w:hAnsi="Arial" w:cs="Arial"/>
        </w:rPr>
      </w:pPr>
    </w:p>
    <w:p w:rsidR="00E71C5E" w:rsidRDefault="001178CF">
      <w:pPr>
        <w:jc w:val="center"/>
        <w:rPr>
          <w:rFonts w:ascii="Arial" w:eastAsia="Arial" w:hAnsi="Arial" w:cs="Arial"/>
          <w:b/>
          <w:color w:val="1D1D1D"/>
        </w:rPr>
      </w:pPr>
      <w:r>
        <w:rPr>
          <w:rFonts w:ascii="Arial" w:eastAsia="Arial" w:hAnsi="Arial" w:cs="Arial"/>
          <w:b/>
          <w:color w:val="1D1D1D"/>
        </w:rPr>
        <w:t>2. ОБЯЗАННОСТИ УПРАВЛЯЮЩ</w:t>
      </w:r>
      <w:r>
        <w:rPr>
          <w:rFonts w:ascii="Arial" w:eastAsia="Arial" w:hAnsi="Arial" w:cs="Arial"/>
          <w:b/>
          <w:color w:val="1D1D1D"/>
        </w:rPr>
        <w:t>ЕГО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2.1. Управляющий обязан выплачивать Инвестору сумму баланса по запросу Инвестора в сумме и размере запрошенных им, и не более полной суммы баланса Инвестора.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2.2. Сумма баланса может быть возвращена досрочно без дополнительного согласования сторон.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2.3. Инвестор имеет право контроля за целевым использованием суммы займа, а Управляющий обязан по требованию Инвестора предоставлять ему необходимую информацию о целевом использовании, с предоставлением отчета в свободной форме.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 xml:space="preserve">2.4. Управляющий обязуется </w:t>
      </w:r>
      <w:r>
        <w:rPr>
          <w:rFonts w:ascii="Arial" w:eastAsia="Arial" w:hAnsi="Arial" w:cs="Arial"/>
          <w:color w:val="1D1D1D"/>
          <w:sz w:val="16"/>
          <w:szCs w:val="16"/>
        </w:rPr>
        <w:t>регулировать все юридические вопросы, возникающие при работе и несет ответственность в рамках закона РФ.</w:t>
      </w:r>
      <w:r>
        <w:rPr>
          <w:rFonts w:ascii="Arial" w:eastAsia="Arial" w:hAnsi="Arial" w:cs="Arial"/>
          <w:color w:val="1D1D1D"/>
          <w:sz w:val="16"/>
          <w:szCs w:val="16"/>
        </w:rPr>
        <w:br/>
      </w:r>
      <w:r>
        <w:rPr>
          <w:rFonts w:ascii="Arial" w:eastAsia="Arial" w:hAnsi="Arial" w:cs="Arial"/>
          <w:color w:val="1D1D1D"/>
          <w:sz w:val="16"/>
          <w:szCs w:val="16"/>
        </w:rPr>
        <w:br/>
        <w:t xml:space="preserve">2.5. Баланс может быть пополнен с согласования сторон через почту, указанную в реквизитах. Согласованным пополнением считается пополнение выполненное </w:t>
      </w:r>
      <w:r>
        <w:rPr>
          <w:rFonts w:ascii="Arial" w:eastAsia="Arial" w:hAnsi="Arial" w:cs="Arial"/>
          <w:color w:val="1D1D1D"/>
          <w:sz w:val="16"/>
          <w:szCs w:val="16"/>
        </w:rPr>
        <w:t>по согласованным по почте реквизитам, и может производиться в любой валюте. Оно считается принятым при пересылке чека оплаты и подтверждения о принятии этой суммы платежа от Управляющего в ответном письме.</w:t>
      </w:r>
    </w:p>
    <w:p w:rsidR="00E71C5E" w:rsidRDefault="001178CF">
      <w:pPr>
        <w:jc w:val="center"/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b/>
          <w:color w:val="1D1D1D"/>
        </w:rPr>
        <w:t>3. ПОСЛЕДСТВИЯ НАРУШЕНИЯ УПРАВЛЯЮЩИМ ДОГОВОРА</w:t>
      </w:r>
    </w:p>
    <w:p w:rsidR="00E71C5E" w:rsidRDefault="001178CF">
      <w:pPr>
        <w:rPr>
          <w:rFonts w:ascii="Arial" w:eastAsia="Arial" w:hAnsi="Arial" w:cs="Arial"/>
          <w:color w:val="1D1D1D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3.1.</w:t>
      </w:r>
      <w:r>
        <w:rPr>
          <w:rFonts w:ascii="Arial" w:eastAsia="Arial" w:hAnsi="Arial" w:cs="Arial"/>
          <w:color w:val="1D1D1D"/>
          <w:sz w:val="16"/>
          <w:szCs w:val="16"/>
        </w:rPr>
        <w:t xml:space="preserve"> Все споры или разногласия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по месту нахождения Инвестор в установленном законодательством порядке.</w:t>
      </w:r>
    </w:p>
    <w:p w:rsidR="00E71C5E" w:rsidRDefault="00E71C5E"/>
    <w:p w:rsidR="00E71C5E" w:rsidRDefault="00E71C5E"/>
    <w:p w:rsidR="00E71C5E" w:rsidRDefault="00E71C5E"/>
    <w:p w:rsidR="00E71C5E" w:rsidRDefault="001178CF">
      <w:pPr>
        <w:rPr>
          <w:rFonts w:ascii="Arial" w:eastAsia="Arial" w:hAnsi="Arial" w:cs="Arial"/>
        </w:rPr>
      </w:pPr>
      <w:r>
        <w:br/>
      </w:r>
    </w:p>
    <w:p w:rsidR="00E71C5E" w:rsidRDefault="001178CF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>4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АДРЕСА И БАНКОВСКИЕ РЕКВИЗИТЫ СТОРОН</w:t>
      </w:r>
    </w:p>
    <w:tbl>
      <w:tblPr>
        <w:tblStyle w:val="aff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508"/>
        <w:gridCol w:w="4508"/>
      </w:tblGrid>
      <w:tr w:rsidR="00E71C5E" w:rsidTr="00E71C5E">
        <w:trPr>
          <w:cnfStyle w:val="100000000000"/>
          <w:cantSplit/>
          <w:tblHeader/>
        </w:trPr>
        <w:tc>
          <w:tcPr>
            <w:cnfStyle w:val="001000000000"/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71C5E" w:rsidRDefault="001178CF">
            <w:pPr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Инвестор</w:t>
            </w:r>
          </w:p>
          <w:p w:rsidR="00E71C5E" w:rsidRDefault="001178C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 xml:space="preserve">Тел: </w:t>
            </w:r>
          </w:p>
          <w:p w:rsidR="00E71C5E" w:rsidRDefault="001178C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 xml:space="preserve">Почта: </w:t>
            </w: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br/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Управляющий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Галеев Рашид Фаргатович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Дата рождения: 01.07.1989г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Паспорт: </w:t>
            </w: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9209 744328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Прописка: Россия, респ. Татарстан, Г. Казань, ул. Салиха Батыева 17 кв. 258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Почта: hello@solution-fund.com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Карта Тинькофф: 5536913817390160</w:t>
            </w:r>
          </w:p>
          <w:p w:rsidR="00E71C5E" w:rsidRDefault="001178CF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Карта Сбербанк: 4276620048188431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1D1D1D"/>
                <w:sz w:val="16"/>
                <w:szCs w:val="16"/>
              </w:rPr>
              <w:t>Тел:  89061127753</w:t>
            </w:r>
          </w:p>
          <w:p w:rsidR="00E71C5E" w:rsidRDefault="00E71C5E">
            <w:pPr>
              <w:cnfStyle w:val="100000000000"/>
              <w:rPr>
                <w:rFonts w:ascii="Arial" w:eastAsia="Arial" w:hAnsi="Arial" w:cs="Arial"/>
                <w:color w:val="1D1D1D"/>
                <w:sz w:val="16"/>
                <w:szCs w:val="16"/>
              </w:rPr>
            </w:pPr>
          </w:p>
        </w:tc>
      </w:tr>
    </w:tbl>
    <w:p w:rsidR="00E71C5E" w:rsidRDefault="001178CF">
      <w:pPr>
        <w:rPr>
          <w:rFonts w:ascii="Arial" w:eastAsia="Arial" w:hAnsi="Arial" w:cs="Arial"/>
        </w:rPr>
      </w:pPr>
      <w:r>
        <w:br/>
      </w:r>
    </w:p>
    <w:p w:rsidR="00E71C5E" w:rsidRDefault="001178CF">
      <w:pPr>
        <w:rPr>
          <w:rFonts w:ascii="Arial" w:eastAsia="Arial" w:hAnsi="Arial" w:cs="Arial"/>
        </w:rPr>
      </w:pPr>
      <w:r>
        <w:br/>
      </w:r>
    </w:p>
    <w:p w:rsidR="00E71C5E" w:rsidRDefault="001178CF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ПОДПИСИ СТОРОН</w:t>
      </w:r>
    </w:p>
    <w:p w:rsidR="00E71C5E" w:rsidRDefault="001178CF">
      <w:pPr>
        <w:jc w:val="right"/>
        <w:rPr>
          <w:rFonts w:ascii="Arial" w:eastAsia="Arial" w:hAnsi="Arial" w:cs="Arial"/>
        </w:rPr>
      </w:pPr>
      <w:r>
        <w:br/>
      </w:r>
    </w:p>
    <w:p w:rsidR="00E71C5E" w:rsidRDefault="001178CF">
      <w:pPr>
        <w:rPr>
          <w:rFonts w:ascii="Arial" w:eastAsia="Arial" w:hAnsi="Arial" w:cs="Arial"/>
        </w:rPr>
      </w:pPr>
      <w:r>
        <w:br/>
      </w:r>
    </w:p>
    <w:tbl>
      <w:tblPr>
        <w:tblStyle w:val="aff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508"/>
        <w:gridCol w:w="4508"/>
      </w:tblGrid>
      <w:tr w:rsidR="00E71C5E" w:rsidTr="00E71C5E">
        <w:trPr>
          <w:cnfStyle w:val="100000000000"/>
          <w:cantSplit/>
          <w:tblHeader/>
        </w:trPr>
        <w:tc>
          <w:tcPr>
            <w:cnfStyle w:val="001000000000"/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71C5E" w:rsidRDefault="001178C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Инвестор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_______________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71C5E" w:rsidRDefault="001178CF">
            <w:pPr>
              <w:cnfStyle w:val="1000000000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Управляющий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_______________</w:t>
            </w:r>
          </w:p>
        </w:tc>
      </w:tr>
    </w:tbl>
    <w:p w:rsidR="00E71C5E" w:rsidRDefault="00E71C5E">
      <w:pPr>
        <w:rPr>
          <w:rFonts w:ascii="Arial" w:eastAsia="Arial" w:hAnsi="Arial" w:cs="Arial"/>
        </w:rPr>
      </w:pPr>
    </w:p>
    <w:p w:rsidR="00E71C5E" w:rsidRDefault="00E71C5E">
      <w:pPr>
        <w:rPr>
          <w:rFonts w:ascii="Arial" w:eastAsia="Arial" w:hAnsi="Arial" w:cs="Arial"/>
        </w:rPr>
      </w:pPr>
    </w:p>
    <w:sectPr w:rsidR="00E71C5E" w:rsidSect="00E71C5E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CF" w:rsidRDefault="001178CF" w:rsidP="00E71C5E">
      <w:pPr>
        <w:spacing w:after="0" w:line="240" w:lineRule="auto"/>
      </w:pPr>
      <w:r>
        <w:separator/>
      </w:r>
    </w:p>
  </w:endnote>
  <w:endnote w:type="continuationSeparator" w:id="1">
    <w:p w:rsidR="001178CF" w:rsidRDefault="001178CF" w:rsidP="00E7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5E" w:rsidRDefault="00E71C5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8"/>
      <w:tblW w:w="9015" w:type="dxa"/>
      <w:tblInd w:w="0" w:type="dxa"/>
      <w:tblLayout w:type="fixed"/>
      <w:tblLook w:val="0600"/>
    </w:tblPr>
    <w:tblGrid>
      <w:gridCol w:w="3005"/>
      <w:gridCol w:w="3005"/>
      <w:gridCol w:w="3005"/>
    </w:tblGrid>
    <w:tr w:rsidR="00E71C5E">
      <w:trPr>
        <w:cantSplit/>
        <w:tblHeader/>
      </w:trPr>
      <w:tc>
        <w:tcPr>
          <w:tcW w:w="3005" w:type="dxa"/>
        </w:tcPr>
        <w:p w:rsidR="00E71C5E" w:rsidRDefault="00E71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005" w:type="dxa"/>
        </w:tcPr>
        <w:p w:rsidR="00E71C5E" w:rsidRDefault="00E71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005" w:type="dxa"/>
        </w:tcPr>
        <w:p w:rsidR="00E71C5E" w:rsidRDefault="00E71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E71C5E" w:rsidRDefault="00E71C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CF" w:rsidRDefault="001178CF" w:rsidP="00E71C5E">
      <w:pPr>
        <w:spacing w:after="0" w:line="240" w:lineRule="auto"/>
      </w:pPr>
      <w:r>
        <w:separator/>
      </w:r>
    </w:p>
  </w:footnote>
  <w:footnote w:type="continuationSeparator" w:id="1">
    <w:p w:rsidR="001178CF" w:rsidRDefault="001178CF" w:rsidP="00E7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5E" w:rsidRDefault="00E71C5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ff7"/>
      <w:tblW w:w="9015" w:type="dxa"/>
      <w:tblInd w:w="0" w:type="dxa"/>
      <w:tblLayout w:type="fixed"/>
      <w:tblLook w:val="0600"/>
    </w:tblPr>
    <w:tblGrid>
      <w:gridCol w:w="3005"/>
      <w:gridCol w:w="3005"/>
      <w:gridCol w:w="3005"/>
    </w:tblGrid>
    <w:tr w:rsidR="00E71C5E">
      <w:trPr>
        <w:cantSplit/>
        <w:tblHeader/>
      </w:trPr>
      <w:tc>
        <w:tcPr>
          <w:tcW w:w="3005" w:type="dxa"/>
        </w:tcPr>
        <w:p w:rsidR="00E71C5E" w:rsidRDefault="00E71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005" w:type="dxa"/>
        </w:tcPr>
        <w:p w:rsidR="00E71C5E" w:rsidRDefault="00E71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005" w:type="dxa"/>
        </w:tcPr>
        <w:p w:rsidR="00E71C5E" w:rsidRDefault="00E71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E71C5E" w:rsidRDefault="00E71C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5E"/>
    <w:rsid w:val="001178CF"/>
    <w:rsid w:val="004E254C"/>
    <w:rsid w:val="00B33C2C"/>
    <w:rsid w:val="00E7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5E"/>
  </w:style>
  <w:style w:type="paragraph" w:styleId="1">
    <w:name w:val="heading 1"/>
    <w:basedOn w:val="normal"/>
    <w:next w:val="normal"/>
    <w:rsid w:val="00E71C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71C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71C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71C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71C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71C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71C5E"/>
  </w:style>
  <w:style w:type="table" w:customStyle="1" w:styleId="TableNormal">
    <w:name w:val="Table Normal"/>
    <w:rsid w:val="00E71C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1C5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71C5E"/>
  </w:style>
  <w:style w:type="table" w:customStyle="1" w:styleId="TableNormal0">
    <w:name w:val="Table Normal"/>
    <w:rsid w:val="00E71C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71C5E"/>
  </w:style>
  <w:style w:type="table" w:customStyle="1" w:styleId="TableNormal1">
    <w:name w:val="Table Normal"/>
    <w:rsid w:val="00E71C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71C5E"/>
  </w:style>
  <w:style w:type="table" w:customStyle="1" w:styleId="TableNormal2">
    <w:name w:val="Table Normal"/>
    <w:rsid w:val="00E71C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E71C5E"/>
  </w:style>
  <w:style w:type="table" w:customStyle="1" w:styleId="TableNormal3">
    <w:name w:val="Table Normal"/>
    <w:rsid w:val="00E71C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71C5E"/>
  </w:style>
  <w:style w:type="table" w:customStyle="1" w:styleId="TableNormal4">
    <w:name w:val="Table Normal"/>
    <w:rsid w:val="00E71C5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E71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E71C5E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E71C5E"/>
  </w:style>
  <w:style w:type="paragraph" w:styleId="a7">
    <w:name w:val="header"/>
    <w:basedOn w:val="a"/>
    <w:link w:val="a6"/>
    <w:uiPriority w:val="99"/>
    <w:unhideWhenUsed/>
    <w:rsid w:val="00E7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E71C5E"/>
  </w:style>
  <w:style w:type="paragraph" w:styleId="a9">
    <w:name w:val="footer"/>
    <w:basedOn w:val="a"/>
    <w:link w:val="a8"/>
    <w:uiPriority w:val="99"/>
    <w:unhideWhenUsed/>
    <w:rsid w:val="00E71C5E"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Subtitle"/>
    <w:basedOn w:val="normal"/>
    <w:next w:val="normal"/>
    <w:rsid w:val="00E71C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4"/>
    <w:rsid w:val="00E71C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rsid w:val="00E71C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rsid w:val="00E71C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JW8e3p47iigpKcOAsgSgFizkQ==">AMUW2mXAw4uEOWW3oYAiTWd/Le8+nbMylgcV01VNATQVA5a1qHnU06MWiUkDZOr9K34y77ELwN7n2dH76/iiRzuta+CknEXjkqsiHgEpDWrsbnGJOF59MO4=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rasidgaleev</dc:creator>
  <cp:lastModifiedBy>W-7</cp:lastModifiedBy>
  <cp:revision>3</cp:revision>
  <dcterms:created xsi:type="dcterms:W3CDTF">2021-01-21T10:42:00Z</dcterms:created>
  <dcterms:modified xsi:type="dcterms:W3CDTF">2021-09-10T20:08:00Z</dcterms:modified>
</cp:coreProperties>
</file>